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431E" w14:textId="77777777" w:rsidR="00EB7093" w:rsidRPr="006507F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5232E643">
                <wp:simplePos x="0" y="0"/>
                <wp:positionH relativeFrom="column">
                  <wp:posOffset>701040</wp:posOffset>
                </wp:positionH>
                <wp:positionV relativeFrom="paragraph">
                  <wp:posOffset>38100</wp:posOffset>
                </wp:positionV>
                <wp:extent cx="5396230" cy="46482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464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6CB3E" w14:textId="61CBBA04" w:rsidR="00EB7093" w:rsidRPr="008D300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20"/>
                                <w:szCs w:val="20"/>
                                <w:lang w:val="fr-BE"/>
                              </w:rPr>
                            </w:pPr>
                            <w:bookmarkStart w:id="0" w:name="_GoBack"/>
                            <w:r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ÉLECTION</w:t>
                            </w:r>
                            <w:r w:rsidR="000E7C79"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S</w:t>
                            </w:r>
                            <w:r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  <w:r w:rsidR="00112ED6"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 xml:space="preserve">DU PARLEMENT </w:t>
                            </w:r>
                            <w:r w:rsidR="000E7C79"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 xml:space="preserve">EUROPÉEN, DE LA CHAMBRE ET DU PARLEMENT </w:t>
                            </w:r>
                            <w:r w:rsidR="00112ED6"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WALLON</w:t>
                            </w:r>
                            <w:r w:rsidR="000E7C79"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 xml:space="preserve"> DU 9 JUIN 2024 </w:t>
                            </w:r>
                            <w:r w:rsidRPr="008D3009">
                              <w:rPr>
                                <w:rFonts w:ascii="Verdana" w:eastAsia="Arial Black" w:hAnsi="Verdana" w:cs="Arial Black"/>
                                <w:sz w:val="20"/>
                                <w:szCs w:val="20"/>
                                <w:lang w:val="fr-BE"/>
                              </w:rPr>
                              <w:t>DU 9 JUIN 2024</w:t>
                            </w:r>
                            <w:bookmarkEnd w:id="0"/>
                          </w:p>
                          <w:p w14:paraId="27BFB06A" w14:textId="77777777" w:rsidR="00EB7093" w:rsidRPr="000E7C79" w:rsidRDefault="00EB7093" w:rsidP="00EB7093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7895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55.2pt;margin-top:3pt;width:424.9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" filled="f" stroked="f" strokeweight=".5pt">
                <v:textbox>
                  <w:txbxContent>
                    <w:p w14:paraId="0756CB3E" w14:textId="61CBBA04" w:rsidR="00EB7093" w:rsidRPr="008D300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20"/>
                          <w:szCs w:val="20"/>
                          <w:lang w:val="fr-BE"/>
                        </w:rPr>
                      </w:pPr>
                      <w:bookmarkStart w:id="1" w:name="_GoBack"/>
                      <w:r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ÉLECTION</w:t>
                      </w:r>
                      <w:r w:rsidR="000E7C79"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S</w:t>
                      </w:r>
                      <w:r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  <w:r w:rsidR="00112ED6"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 xml:space="preserve">DU PARLEMENT </w:t>
                      </w:r>
                      <w:r w:rsidR="000E7C79"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 xml:space="preserve">EUROPÉEN, DE LA CHAMBRE ET DU PARLEMENT </w:t>
                      </w:r>
                      <w:r w:rsidR="00112ED6"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WALLON</w:t>
                      </w:r>
                      <w:r w:rsidR="000E7C79"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 xml:space="preserve"> DU 9 JUIN 2024 </w:t>
                      </w:r>
                      <w:r w:rsidRPr="008D3009">
                        <w:rPr>
                          <w:rFonts w:ascii="Verdana" w:eastAsia="Arial Black" w:hAnsi="Verdana" w:cs="Arial Black"/>
                          <w:sz w:val="20"/>
                          <w:szCs w:val="20"/>
                          <w:lang w:val="fr-BE"/>
                        </w:rPr>
                        <w:t>DU 9 JUIN 2024</w:t>
                      </w:r>
                      <w:bookmarkEnd w:id="1"/>
                    </w:p>
                    <w:p w14:paraId="27BFB06A" w14:textId="77777777" w:rsidR="00EB7093" w:rsidRPr="000E7C79" w:rsidRDefault="00EB7093" w:rsidP="00EB7093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Pr="006507F9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B39B8B1" w14:textId="4378C08B" w:rsidR="00013B2C" w:rsidRPr="008D3009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8D3009">
        <w:rPr>
          <w:rFonts w:ascii="Verdana" w:hAnsi="Verdana"/>
          <w:bCs w:val="0"/>
          <w:sz w:val="20"/>
          <w:szCs w:val="20"/>
          <w:lang w:val="fr-FR"/>
        </w:rPr>
        <w:t>Avis concernant le lieu où les noms des témoins seront réceptionnés</w:t>
      </w:r>
    </w:p>
    <w:p w14:paraId="106F21F7" w14:textId="77777777" w:rsidR="00013B2C" w:rsidRPr="006507F9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FR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:rsidRPr="006507F9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Pr="006507F9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 électorale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Pr="006507F9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 électoral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8D3009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5A0A2CC8" w:rsidR="00013B2C" w:rsidRPr="006507F9" w:rsidRDefault="00A250D9" w:rsidP="000E7C79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Le 28 mai 2024, entre 14 et 16 heures, la désignation des témoins pour les bureaux de </w:t>
            </w:r>
            <w:r w:rsidR="000E7C79">
              <w:rPr>
                <w:color w:val="231F20"/>
                <w:sz w:val="18"/>
                <w:szCs w:val="18"/>
                <w:lang w:val="fr-FR"/>
              </w:rPr>
              <w:t xml:space="preserve">vote et les bureaux de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dépouillement </w:t>
            </w:r>
            <w:r w:rsidR="000E7C79">
              <w:rPr>
                <w:color w:val="231F20"/>
                <w:sz w:val="18"/>
                <w:szCs w:val="18"/>
                <w:lang w:val="fr-FR"/>
              </w:rPr>
              <w:t>C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sera</w:t>
            </w:r>
            <w:r w:rsidRPr="006507F9">
              <w:rPr>
                <w:color w:val="231F20"/>
                <w:spacing w:val="-15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réceptionnée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à l’adresse suivante : 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8D3009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B82BA8D" w14:textId="77777777" w:rsidR="000E7C79" w:rsidRDefault="000E7C7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6A8C93C8" w14:textId="6224F7FA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peuvent</w:t>
            </w:r>
            <w:r w:rsidR="000E7C7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désigner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au plus désigner un témoin et un témoin suppléant pour chaque bureau </w:t>
            </w:r>
            <w:r w:rsidR="000E7C7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de vote et bureau 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de dépouillement </w:t>
            </w:r>
            <w:r w:rsidR="000E7C79">
              <w:rPr>
                <w:b/>
                <w:bCs/>
                <w:color w:val="231F20"/>
                <w:sz w:val="18"/>
                <w:szCs w:val="18"/>
                <w:lang w:val="fr-FR"/>
              </w:rPr>
              <w:t>C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.</w:t>
            </w:r>
          </w:p>
          <w:p w14:paraId="2E0E56A5" w14:textId="77777777" w:rsidR="00013B2C" w:rsidRPr="006507F9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771EBC7F" w14:textId="77777777" w:rsidR="00013B2C" w:rsidRPr="006507F9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qui se présentent ensemble ne peuvent désigner qu’un témoin et un témoin suppléant par bureau. </w:t>
            </w:r>
          </w:p>
          <w:p w14:paraId="71325C0E" w14:textId="77777777" w:rsidR="00013B2C" w:rsidRPr="006507F9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3402721C" w14:textId="2AACAC04" w:rsidR="00AE3101" w:rsidRPr="006507F9" w:rsidRDefault="000E7C79" w:rsidP="000E7C7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0E7C79">
              <w:rPr>
                <w:b/>
                <w:bCs/>
                <w:color w:val="231F20"/>
                <w:sz w:val="18"/>
                <w:szCs w:val="18"/>
                <w:lang w:val="fr-FR"/>
              </w:rPr>
              <w:t>Les témoins doivent être électeurs pour le Parlement européen, la Chambre et le Parlement wallon dans la circonscription électorale précitée pour le Parlement wallon</w:t>
            </w:r>
            <w:r w:rsidR="00A250D9"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. Les candidats peuvent être désignés comme témoins ou témoins suppléants. </w:t>
            </w:r>
          </w:p>
          <w:p w14:paraId="5CE05ABC" w14:textId="77777777" w:rsidR="00AE3101" w:rsidRPr="006507F9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1723FEC4" w14:textId="5E339938" w:rsidR="00013B2C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(ou un candidat) indiqueront (indiquera) le bureau de</w:t>
            </w:r>
            <w:r w:rsidR="002C7BD7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vote et le bureau de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dépouillement</w:t>
            </w:r>
            <w:r w:rsidR="002C7BD7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C</w:t>
            </w: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 où chaque témoin exercera son mandat pendant toute la durée des opérations.  Ils en informeront eux-mêmes les témoins qu’ils auront désignés. Cette notification, signée par le président du bureau principal de canton, doit également être signée par l’un des candidats.</w:t>
            </w:r>
          </w:p>
          <w:p w14:paraId="2605D1D7" w14:textId="3F4A0EBB" w:rsidR="000E7C79" w:rsidRPr="006507F9" w:rsidRDefault="000E7C7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</w:tc>
      </w:tr>
      <w:tr w:rsidR="00013B2C" w:rsidRPr="006507F9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68E9594" w14:textId="77777777" w:rsidR="00112ED6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  <w:p w14:paraId="488C1CA9" w14:textId="77777777" w:rsidR="00013B2C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  <w:p w14:paraId="3AB8D7DA" w14:textId="42346705" w:rsidR="00112ED6" w:rsidRPr="006507F9" w:rsidRDefault="00112ED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</w:p>
        </w:tc>
      </w:tr>
      <w:tr w:rsidR="00013B2C" w:rsidRPr="006507F9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EC651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8D3009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77777777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955D90" w14:textId="77777777" w:rsidR="00013B2C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51B1DF3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004EBA9" w14:textId="77777777" w:rsidR="00112ED6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83D4779" w14:textId="4C58A6D4" w:rsidR="00112ED6" w:rsidRPr="006507F9" w:rsidRDefault="00112ED6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218EBFBC" w14:textId="77777777" w:rsidR="00EE1998" w:rsidRPr="006507F9" w:rsidRDefault="00EE1998">
      <w:pPr>
        <w:rPr>
          <w:lang w:val="fr-FR"/>
        </w:rPr>
      </w:pPr>
    </w:p>
    <w:p w14:paraId="7C5E52BB" w14:textId="77777777" w:rsidR="00EE1998" w:rsidRPr="006507F9" w:rsidRDefault="00EE1998" w:rsidP="00EE1998">
      <w:pPr>
        <w:rPr>
          <w:lang w:val="fr-FR"/>
        </w:rPr>
      </w:pPr>
    </w:p>
    <w:p w14:paraId="4998BC0E" w14:textId="77777777" w:rsidR="00EE1998" w:rsidRPr="006507F9" w:rsidRDefault="00EE1998" w:rsidP="00EE1998">
      <w:pPr>
        <w:rPr>
          <w:lang w:val="fr-FR"/>
        </w:rPr>
      </w:pPr>
    </w:p>
    <w:p w14:paraId="03734320" w14:textId="77777777" w:rsidR="00EE1998" w:rsidRPr="006507F9" w:rsidRDefault="00EE1998" w:rsidP="00EE1998">
      <w:pPr>
        <w:rPr>
          <w:lang w:val="fr-FR"/>
        </w:rPr>
      </w:pPr>
    </w:p>
    <w:p w14:paraId="77E2D486" w14:textId="77777777" w:rsidR="00EE1998" w:rsidRPr="006507F9" w:rsidRDefault="00EE1998" w:rsidP="00EE1998">
      <w:pPr>
        <w:rPr>
          <w:lang w:val="fr-FR"/>
        </w:rPr>
      </w:pPr>
    </w:p>
    <w:p w14:paraId="540017D5" w14:textId="77777777" w:rsidR="00EE1998" w:rsidRPr="006507F9" w:rsidRDefault="00EE1998" w:rsidP="00EE1998">
      <w:pPr>
        <w:rPr>
          <w:lang w:val="fr-FR"/>
        </w:rPr>
      </w:pPr>
    </w:p>
    <w:p w14:paraId="229F29A9" w14:textId="77777777" w:rsidR="00EE1998" w:rsidRPr="006507F9" w:rsidRDefault="00EE1998" w:rsidP="00EE1998">
      <w:pPr>
        <w:rPr>
          <w:lang w:val="fr-FR"/>
        </w:rPr>
      </w:pPr>
    </w:p>
    <w:p w14:paraId="4F0E05B8" w14:textId="77777777" w:rsidR="00EE1998" w:rsidRPr="006507F9" w:rsidRDefault="00EE1998" w:rsidP="00EE1998">
      <w:pPr>
        <w:rPr>
          <w:lang w:val="fr-FR"/>
        </w:rPr>
      </w:pPr>
    </w:p>
    <w:p w14:paraId="67FE4F10" w14:textId="77777777" w:rsidR="00EE1998" w:rsidRPr="006507F9" w:rsidRDefault="00EE1998" w:rsidP="00EE1998">
      <w:pPr>
        <w:rPr>
          <w:lang w:val="fr-FR"/>
        </w:rPr>
      </w:pPr>
    </w:p>
    <w:p w14:paraId="222C163F" w14:textId="77777777" w:rsidR="00EE1998" w:rsidRPr="006507F9" w:rsidRDefault="00EE1998" w:rsidP="00EE1998">
      <w:pPr>
        <w:rPr>
          <w:lang w:val="fr-FR"/>
        </w:rPr>
      </w:pPr>
    </w:p>
    <w:p w14:paraId="105E24EA" w14:textId="77777777" w:rsidR="00EE1998" w:rsidRPr="006507F9" w:rsidRDefault="00EE1998" w:rsidP="00EE1998">
      <w:pPr>
        <w:rPr>
          <w:lang w:val="fr-FR"/>
        </w:rPr>
      </w:pPr>
    </w:p>
    <w:p w14:paraId="06BAD710" w14:textId="77777777" w:rsidR="00EE1998" w:rsidRPr="006507F9" w:rsidRDefault="00EE1998" w:rsidP="00EE1998">
      <w:pPr>
        <w:rPr>
          <w:lang w:val="fr-FR"/>
        </w:rPr>
      </w:pPr>
    </w:p>
    <w:p w14:paraId="48D9412D" w14:textId="77777777" w:rsidR="00EE1998" w:rsidRPr="006507F9" w:rsidRDefault="00EE1998" w:rsidP="00EE1998">
      <w:pPr>
        <w:rPr>
          <w:lang w:val="fr-FR"/>
        </w:rPr>
      </w:pPr>
    </w:p>
    <w:p w14:paraId="51A6364F" w14:textId="77777777" w:rsidR="00EE1998" w:rsidRPr="006507F9" w:rsidRDefault="00EE1998" w:rsidP="00EE1998">
      <w:pPr>
        <w:rPr>
          <w:lang w:val="fr-FR"/>
        </w:rPr>
      </w:pPr>
    </w:p>
    <w:p w14:paraId="707E622B" w14:textId="77777777" w:rsidR="00EE1998" w:rsidRPr="006507F9" w:rsidRDefault="00EE1998" w:rsidP="00EE1998">
      <w:pPr>
        <w:rPr>
          <w:lang w:val="fr-FR"/>
        </w:rPr>
      </w:pPr>
    </w:p>
    <w:p w14:paraId="3B88F3EC" w14:textId="77777777" w:rsidR="00EE1998" w:rsidRPr="006507F9" w:rsidRDefault="00EE1998" w:rsidP="00EE1998">
      <w:pPr>
        <w:rPr>
          <w:lang w:val="fr-FR"/>
        </w:rPr>
      </w:pPr>
    </w:p>
    <w:sectPr w:rsidR="00EE1998" w:rsidRPr="006507F9">
      <w:headerReference w:type="default" r:id="rId10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0969CE0E" w:rsidR="003C77C9" w:rsidRPr="000E7C79" w:rsidRDefault="003C77C9">
    <w:pPr>
      <w:pStyle w:val="Koptekst"/>
      <w:rPr>
        <w:sz w:val="14"/>
        <w:szCs w:val="14"/>
        <w:lang w:val="nl-BE"/>
      </w:rPr>
    </w:pPr>
    <w:r w:rsidRPr="000E7C79">
      <w:rPr>
        <w:sz w:val="14"/>
        <w:szCs w:val="14"/>
        <w:lang w:val="fr"/>
      </w:rPr>
      <w:t xml:space="preserve">Formulaire </w:t>
    </w:r>
    <w:r w:rsidR="00F1152C" w:rsidRPr="000E7C79">
      <w:rPr>
        <w:sz w:val="14"/>
        <w:szCs w:val="14"/>
        <w:lang w:val="fr"/>
      </w:rPr>
      <w:t>ACE2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0E7C79"/>
    <w:rsid w:val="00112ED6"/>
    <w:rsid w:val="00177AAB"/>
    <w:rsid w:val="001B1037"/>
    <w:rsid w:val="001D6841"/>
    <w:rsid w:val="001E0AD6"/>
    <w:rsid w:val="002877A9"/>
    <w:rsid w:val="002C7BD7"/>
    <w:rsid w:val="003C77C9"/>
    <w:rsid w:val="006507F9"/>
    <w:rsid w:val="007F7313"/>
    <w:rsid w:val="00894E9B"/>
    <w:rsid w:val="008D3009"/>
    <w:rsid w:val="00A250D9"/>
    <w:rsid w:val="00AE3101"/>
    <w:rsid w:val="00AE4FA5"/>
    <w:rsid w:val="00C26720"/>
    <w:rsid w:val="00D00064"/>
    <w:rsid w:val="00E47F55"/>
    <w:rsid w:val="00E80ACA"/>
    <w:rsid w:val="00EB7093"/>
    <w:rsid w:val="00EC67BB"/>
    <w:rsid w:val="00EE1998"/>
    <w:rsid w:val="00F1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383D2-C381-4C90-8280-74021517B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089-5BC0-49B9-A238-348B9601F5EF}">
  <ds:schemaRefs>
    <ds:schemaRef ds:uri="http://purl.org/dc/terms/"/>
    <ds:schemaRef ds:uri="http://schemas.openxmlformats.org/package/2006/metadata/core-properties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CF5252-0110-49A0-9005-E8D822DE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2024-01-29T15:11:00Z</dcterms:created>
  <dcterms:modified xsi:type="dcterms:W3CDTF">2024-01-29T16:13:00Z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